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16C" w:rsidRDefault="00F7416C" w:rsidP="00BF58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F23A62" w:rsidRDefault="00F23A62" w:rsidP="00F23A62">
      <w:pPr>
        <w:pStyle w:val="Zkladntext"/>
      </w:pPr>
    </w:p>
    <w:p w:rsidR="00F23A62" w:rsidRDefault="00F23A62" w:rsidP="00F23A62">
      <w:pPr>
        <w:pStyle w:val="Zkladntext"/>
        <w:ind w:left="5664" w:firstLine="708"/>
      </w:pPr>
      <w:r>
        <w:t xml:space="preserve">Městský obvod Ostrava- Jih, </w:t>
      </w:r>
    </w:p>
    <w:p w:rsidR="00F23A62" w:rsidRDefault="00F23A62" w:rsidP="00F23A62">
      <w:pPr>
        <w:pStyle w:val="Zkladntext"/>
        <w:ind w:left="5664" w:firstLine="708"/>
      </w:pPr>
      <w:r>
        <w:t>Horní 791/3,</w:t>
      </w:r>
    </w:p>
    <w:p w:rsidR="00F23A62" w:rsidRDefault="00F23A62" w:rsidP="00F23A62">
      <w:pPr>
        <w:pStyle w:val="Zkladntext"/>
        <w:ind w:left="5664" w:firstLine="708"/>
      </w:pPr>
      <w:r>
        <w:t xml:space="preserve"> 700 30 Ostrava- Habrůvka</w:t>
      </w:r>
    </w:p>
    <w:p w:rsidR="00F23A62" w:rsidRDefault="00F23A62" w:rsidP="00F23A62">
      <w:pPr>
        <w:pStyle w:val="Zkladntext"/>
      </w:pPr>
    </w:p>
    <w:p w:rsidR="002F5282" w:rsidRPr="00B53327" w:rsidRDefault="002F5282" w:rsidP="00F23A6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993"/>
        </w:tabs>
        <w:spacing w:before="240" w:after="60" w:line="240" w:lineRule="auto"/>
        <w:ind w:left="993" w:hanging="993"/>
        <w:jc w:val="both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>Věc:</w:t>
      </w:r>
      <w:r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 tučné" w:eastAsia="Times New Roman" w:hAnsi="Times New Roman tučné"/>
          <w:b/>
          <w:bCs/>
          <w:iCs/>
          <w:caps/>
          <w:color w:val="000000" w:themeColor="text1"/>
          <w:sz w:val="28"/>
          <w:szCs w:val="28"/>
        </w:rPr>
        <w:t>ŽÁDOST O VYDÁNÍ ROZHODNUTÍ o umístění stavby</w:t>
      </w:r>
    </w:p>
    <w:p w:rsidR="002F5282" w:rsidRPr="00B53327" w:rsidRDefault="00F23A62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 xml:space="preserve">v územním řízení 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8979ED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8979ED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zjednodušeném územním řízení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8979ED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8979ED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 územním řízení s posouzením vlivů na životní prostředí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podle ustanovení § 86 ve spojení s § 79, 85 a 94a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zákona č. 183/2006 Sb., o územním plánování a</w:t>
      </w:r>
      <w:r w:rsidR="006A7F5C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stavebním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řádu (stavební zákon)</w:t>
      </w:r>
      <w:r w:rsidR="006A7F5C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 § 3 a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13b vyhlášky č. 503/2006 Sb., o podrobnější úpravě územního rozhodování, územního opatření a stavebního řádu.</w:t>
      </w:r>
    </w:p>
    <w:p w:rsidR="002F5282" w:rsidRPr="00B53327" w:rsidRDefault="002F5282" w:rsidP="002F5282">
      <w:pPr>
        <w:spacing w:before="840"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I. Identifikační údaje stavby </w:t>
      </w: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místo stavby / změny stavby – obec, ulice, číslo popisné / evidenční)</w:t>
      </w:r>
    </w:p>
    <w:p w:rsidR="00F23A62" w:rsidRDefault="00F23A62" w:rsidP="00F23A62">
      <w:pPr>
        <w:pStyle w:val="Zkladntext"/>
      </w:pPr>
      <w:r>
        <w:t>„Oprava oplocení ZŠ Březinova“</w:t>
      </w:r>
    </w:p>
    <w:p w:rsidR="00F23A62" w:rsidRPr="00F23A62" w:rsidRDefault="00F23A62" w:rsidP="00F23A62">
      <w:pPr>
        <w:pStyle w:val="Zkladntext"/>
        <w:rPr>
          <w:szCs w:val="24"/>
        </w:rPr>
      </w:pPr>
      <w:r>
        <w:rPr>
          <w:szCs w:val="24"/>
        </w:rPr>
        <w:t>Projektová dokumentace řeší areálové oplocení ZŠ Březinova</w:t>
      </w:r>
      <w:r w:rsidRPr="00DD7FB1">
        <w:rPr>
          <w:szCs w:val="24"/>
        </w:rPr>
        <w:t>.</w:t>
      </w:r>
      <w:r>
        <w:rPr>
          <w:szCs w:val="24"/>
        </w:rPr>
        <w:t xml:space="preserve"> Změna areálového oplocení spočívá v demontáži a bourání stávajícího, již nevyhovujícího, oplocení a montáži nového oplocení vč. vstupních dvoukřídlých bran a branek.</w:t>
      </w:r>
      <w:r w:rsidRPr="00DD7FB1">
        <w:rPr>
          <w:szCs w:val="24"/>
        </w:rPr>
        <w:t xml:space="preserve"> </w:t>
      </w:r>
      <w:r>
        <w:rPr>
          <w:szCs w:val="24"/>
        </w:rPr>
        <w:t>Dále pak v opravě zídek a sloup</w:t>
      </w:r>
      <w:r>
        <w:rPr>
          <w:szCs w:val="24"/>
        </w:rPr>
        <w:t>ů</w:t>
      </w:r>
      <w:r>
        <w:rPr>
          <w:szCs w:val="24"/>
        </w:rPr>
        <w:t>, které se budou zachovávat.</w:t>
      </w:r>
    </w:p>
    <w:p w:rsidR="00F23A62" w:rsidRDefault="00F23A62" w:rsidP="00F23A62">
      <w:pPr>
        <w:pStyle w:val="Zkladntext"/>
      </w:pPr>
      <w:r>
        <w:rPr>
          <w:rStyle w:val="widget-pane-link"/>
        </w:rPr>
        <w:t>Březinova 1383/52, 700 30 Ostrava-jih</w:t>
      </w:r>
      <w:r>
        <w:t xml:space="preserve">Moravskoslezský kraj; </w:t>
      </w:r>
    </w:p>
    <w:p w:rsidR="00F23A62" w:rsidRDefault="00F23A62" w:rsidP="00F23A62">
      <w:pPr>
        <w:pStyle w:val="Zkladntext"/>
      </w:pPr>
      <w:r>
        <w:t>k.ú. Zábřeh nad Odrou ; č.p. 1420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II. Pozemky, na kterých se stavba umisťuje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9"/>
        <w:gridCol w:w="1562"/>
        <w:gridCol w:w="3389"/>
        <w:gridCol w:w="1156"/>
      </w:tblGrid>
      <w:tr w:rsidR="002F5282" w:rsidRPr="00B53327" w:rsidTr="00F23A62">
        <w:trPr>
          <w:cantSplit/>
          <w:trHeight w:val="94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D2A9D" w:rsidRPr="002D2A9D" w:rsidTr="00F23A62">
        <w:trPr>
          <w:cantSplit/>
          <w:trHeight w:val="94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F23A62" w:rsidP="00F23A62">
            <w:pPr>
              <w:pStyle w:val="Zkladntext"/>
            </w:pPr>
            <w:r w:rsidRPr="002D2A9D">
              <w:lastRenderedPageBreak/>
              <w:t xml:space="preserve">Zábřeh nad Odrou </w:t>
            </w:r>
          </w:p>
          <w:p w:rsidR="002F5282" w:rsidRPr="002D2A9D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F23A62" w:rsidP="00F23A62">
            <w:pPr>
              <w:pStyle w:val="Zkladntext"/>
            </w:pPr>
            <w:r w:rsidRPr="002D2A9D">
              <w:t>1420</w:t>
            </w:r>
          </w:p>
          <w:p w:rsidR="002F5282" w:rsidRPr="002D2A9D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F23A62" w:rsidP="00F23A62">
            <w:pPr>
              <w:pStyle w:val="Zkladntext"/>
            </w:pPr>
            <w:r w:rsidRPr="002D2A9D">
              <w:t xml:space="preserve">Zastavěná plocha a nádvoří </w:t>
            </w:r>
          </w:p>
          <w:p w:rsidR="002F5282" w:rsidRPr="002D2A9D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F23A62" w:rsidP="00F23A62">
            <w:pPr>
              <w:pStyle w:val="Zkladntext"/>
            </w:pPr>
            <w:r w:rsidRPr="002D2A9D">
              <w:t>1602</w:t>
            </w:r>
          </w:p>
          <w:p w:rsidR="002F5282" w:rsidRPr="002D2A9D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2A9D" w:rsidRPr="002D2A9D" w:rsidTr="00F23A62">
        <w:trPr>
          <w:cantSplit/>
          <w:trHeight w:val="94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F23A62" w:rsidP="00F23A62">
            <w:pPr>
              <w:pStyle w:val="Zkladntext"/>
            </w:pPr>
            <w:r w:rsidRPr="002D2A9D">
              <w:t xml:space="preserve">Zábřeh nad Odrou </w:t>
            </w:r>
          </w:p>
          <w:p w:rsidR="002F5282" w:rsidRPr="002D2A9D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2D2A9D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8" w:tooltip="Informace o objektu z RÚIAN, externí odkaz" w:history="1">
              <w:r w:rsidRPr="002D2A9D">
                <w:rPr>
                  <w:rStyle w:val="Hypertextovodkaz"/>
                  <w:color w:val="auto"/>
                  <w:u w:val="none"/>
                </w:rPr>
                <w:t>566/120</w:t>
              </w:r>
            </w:hyperlink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2D2A9D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2A9D">
              <w:rPr>
                <w:rFonts w:ascii="Times New Roman" w:eastAsia="Times New Roman" w:hAnsi="Times New Roman"/>
                <w:sz w:val="24"/>
                <w:szCs w:val="24"/>
              </w:rPr>
              <w:t xml:space="preserve">Ostatní plocha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2D2A9D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2A9D">
              <w:rPr>
                <w:rFonts w:ascii="Times New Roman" w:eastAsia="Times New Roman" w:hAnsi="Times New Roman"/>
                <w:sz w:val="24"/>
                <w:szCs w:val="24"/>
              </w:rPr>
              <w:t>3137</w:t>
            </w:r>
          </w:p>
        </w:tc>
      </w:tr>
      <w:tr w:rsidR="002D2A9D" w:rsidRPr="002D2A9D" w:rsidTr="00F23A62">
        <w:trPr>
          <w:cantSplit/>
          <w:trHeight w:val="94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83F" w:rsidRPr="002D2A9D" w:rsidRDefault="0068083F" w:rsidP="0068083F">
            <w:pPr>
              <w:pStyle w:val="Zkladntext"/>
            </w:pPr>
            <w:r w:rsidRPr="002D2A9D">
              <w:t xml:space="preserve">Zábřeh nad Odrou </w:t>
            </w:r>
          </w:p>
          <w:p w:rsidR="002F5282" w:rsidRPr="002D2A9D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tbl>
            <w:tblPr>
              <w:tblW w:w="0" w:type="auto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Atributy parcely"/>
            </w:tblPr>
            <w:tblGrid>
              <w:gridCol w:w="50"/>
              <w:gridCol w:w="511"/>
            </w:tblGrid>
            <w:tr w:rsidR="002D2A9D" w:rsidRPr="002D2A9D" w:rsidTr="00F23A62">
              <w:trPr>
                <w:trHeight w:val="63"/>
                <w:tblCellSpacing w:w="0" w:type="dxa"/>
              </w:trPr>
              <w:tc>
                <w:tcPr>
                  <w:tcW w:w="50" w:type="dxa"/>
                  <w:vAlign w:val="center"/>
                  <w:hideMark/>
                </w:tcPr>
                <w:p w:rsidR="00F23A62" w:rsidRPr="00F23A62" w:rsidRDefault="00F23A62" w:rsidP="00F23A6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1" w:type="dxa"/>
                  <w:vAlign w:val="center"/>
                  <w:hideMark/>
                </w:tcPr>
                <w:p w:rsidR="00F23A62" w:rsidRPr="00F23A62" w:rsidRDefault="00F23A62" w:rsidP="00F23A6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hyperlink r:id="rId9" w:tooltip="Informace o objektu z RÚIAN, externí odkaz" w:history="1">
                    <w:r w:rsidRPr="002D2A9D"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  <w:t>4468</w:t>
                    </w:r>
                  </w:hyperlink>
                </w:p>
              </w:tc>
            </w:tr>
          </w:tbl>
          <w:p w:rsidR="002F5282" w:rsidRPr="002D2A9D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2D2A9D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2A9D">
              <w:rPr>
                <w:rFonts w:ascii="Times New Roman" w:eastAsia="Times New Roman" w:hAnsi="Times New Roman"/>
                <w:sz w:val="24"/>
                <w:szCs w:val="24"/>
              </w:rPr>
              <w:t>Ostatní plocha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2D2A9D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2A9D">
              <w:rPr>
                <w:rFonts w:ascii="Times New Roman" w:eastAsia="Times New Roman" w:hAnsi="Times New Roman"/>
                <w:sz w:val="24"/>
                <w:szCs w:val="24"/>
              </w:rPr>
              <w:t>1181</w:t>
            </w:r>
          </w:p>
        </w:tc>
      </w:tr>
      <w:tr w:rsidR="002D2A9D" w:rsidRPr="002D2A9D" w:rsidTr="00F23A62">
        <w:trPr>
          <w:cantSplit/>
          <w:trHeight w:val="94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83F" w:rsidRPr="002D2A9D" w:rsidRDefault="0068083F" w:rsidP="0068083F">
            <w:pPr>
              <w:pStyle w:val="Zkladntext"/>
            </w:pPr>
            <w:r w:rsidRPr="002D2A9D">
              <w:t xml:space="preserve">Zábřeh nad Odrou </w:t>
            </w:r>
          </w:p>
          <w:p w:rsidR="002F5282" w:rsidRPr="002D2A9D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tbl>
            <w:tblPr>
              <w:tblW w:w="0" w:type="auto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Atributy parcely"/>
            </w:tblPr>
            <w:tblGrid>
              <w:gridCol w:w="50"/>
              <w:gridCol w:w="511"/>
            </w:tblGrid>
            <w:tr w:rsidR="002D2A9D" w:rsidRPr="002D2A9D" w:rsidTr="00F23A62">
              <w:trPr>
                <w:trHeight w:val="63"/>
                <w:tblCellSpacing w:w="0" w:type="dxa"/>
              </w:trPr>
              <w:tc>
                <w:tcPr>
                  <w:tcW w:w="50" w:type="dxa"/>
                  <w:vAlign w:val="center"/>
                  <w:hideMark/>
                </w:tcPr>
                <w:p w:rsidR="00F23A62" w:rsidRPr="00F23A62" w:rsidRDefault="00F23A62" w:rsidP="00F23A6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1" w:type="dxa"/>
                  <w:vAlign w:val="center"/>
                  <w:hideMark/>
                </w:tcPr>
                <w:p w:rsidR="00F23A62" w:rsidRPr="00F23A62" w:rsidRDefault="00F23A62" w:rsidP="00F23A6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hyperlink r:id="rId10" w:tooltip="Informace o objektu z RÚIAN, externí odkaz" w:history="1">
                    <w:r w:rsidRPr="002D2A9D"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  <w:t>4467</w:t>
                    </w:r>
                  </w:hyperlink>
                </w:p>
              </w:tc>
            </w:tr>
          </w:tbl>
          <w:p w:rsidR="002F5282" w:rsidRPr="002D2A9D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2D2A9D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2A9D">
              <w:rPr>
                <w:rFonts w:ascii="Times New Roman" w:eastAsia="Times New Roman" w:hAnsi="Times New Roman"/>
                <w:sz w:val="24"/>
                <w:szCs w:val="24"/>
              </w:rPr>
              <w:t>Ostatní plocha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2D2A9D" w:rsidRDefault="0068083F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2A9D">
              <w:t>1189</w:t>
            </w:r>
          </w:p>
        </w:tc>
      </w:tr>
      <w:tr w:rsidR="00F23A62" w:rsidRPr="002D2A9D" w:rsidTr="00F23A62">
        <w:trPr>
          <w:cantSplit/>
          <w:trHeight w:val="94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83F" w:rsidRPr="002D2A9D" w:rsidRDefault="0068083F" w:rsidP="0068083F">
            <w:pPr>
              <w:pStyle w:val="Zkladntext"/>
            </w:pPr>
            <w:r w:rsidRPr="002D2A9D">
              <w:t xml:space="preserve">Zábřeh nad Odrou </w:t>
            </w:r>
          </w:p>
          <w:p w:rsidR="00F23A62" w:rsidRPr="002D2A9D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tbl>
            <w:tblPr>
              <w:tblW w:w="0" w:type="auto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Atributy parcely"/>
            </w:tblPr>
            <w:tblGrid>
              <w:gridCol w:w="50"/>
              <w:gridCol w:w="817"/>
            </w:tblGrid>
            <w:tr w:rsidR="002D2A9D" w:rsidRPr="002D2A9D" w:rsidTr="0068083F">
              <w:trPr>
                <w:tblCellSpacing w:w="0" w:type="dxa"/>
              </w:trPr>
              <w:tc>
                <w:tcPr>
                  <w:tcW w:w="36" w:type="dxa"/>
                  <w:vAlign w:val="center"/>
                  <w:hideMark/>
                </w:tcPr>
                <w:p w:rsidR="0068083F" w:rsidRPr="0068083F" w:rsidRDefault="0068083F" w:rsidP="0068083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7" w:type="dxa"/>
                  <w:vAlign w:val="center"/>
                  <w:hideMark/>
                </w:tcPr>
                <w:p w:rsidR="0068083F" w:rsidRPr="0068083F" w:rsidRDefault="0068083F" w:rsidP="0068083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hyperlink r:id="rId11" w:tooltip="Informace o objektu z RÚIAN, externí odkaz" w:history="1">
                    <w:r w:rsidRPr="002D2A9D"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  <w:t>566/121</w:t>
                    </w:r>
                  </w:hyperlink>
                </w:p>
              </w:tc>
            </w:tr>
          </w:tbl>
          <w:p w:rsidR="00F23A62" w:rsidRPr="002D2A9D" w:rsidRDefault="00F23A62" w:rsidP="00F23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68083F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2A9D">
              <w:rPr>
                <w:rFonts w:ascii="Times New Roman" w:eastAsia="Times New Roman" w:hAnsi="Times New Roman"/>
                <w:sz w:val="24"/>
                <w:szCs w:val="24"/>
              </w:rPr>
              <w:t>Ostatní plocha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68083F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2A9D">
              <w:rPr>
                <w:rFonts w:ascii="Times New Roman" w:eastAsia="Times New Roman" w:hAnsi="Times New Roman"/>
                <w:sz w:val="24"/>
                <w:szCs w:val="24"/>
              </w:rPr>
              <w:t>833</w:t>
            </w:r>
          </w:p>
        </w:tc>
      </w:tr>
      <w:tr w:rsidR="00F23A62" w:rsidRPr="002D2A9D" w:rsidTr="00F23A62">
        <w:trPr>
          <w:cantSplit/>
          <w:trHeight w:val="94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F23A62" w:rsidP="00F23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23A62" w:rsidRPr="002D2A9D" w:rsidTr="00F23A62">
        <w:trPr>
          <w:cantSplit/>
          <w:trHeight w:val="94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F23A62" w:rsidP="00F23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2D2A9D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23A62" w:rsidRPr="00B53327" w:rsidTr="00F23A62">
        <w:trPr>
          <w:cantSplit/>
          <w:trHeight w:val="94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B53327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F23A62" w:rsidRDefault="00F23A62" w:rsidP="00F23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B53327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23A62" w:rsidRPr="00B53327" w:rsidTr="00F23A62">
        <w:trPr>
          <w:cantSplit/>
          <w:trHeight w:val="94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B53327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F23A62" w:rsidRDefault="00F23A62" w:rsidP="00F23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A62" w:rsidRPr="00B53327" w:rsidRDefault="00F23A6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8979E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8979E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8979E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8979E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</w:p>
    <w:p w:rsidR="002F5282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III. Identifikační údaje žadatele</w:t>
      </w:r>
    </w:p>
    <w:p w:rsidR="002F5282" w:rsidRPr="00B53327" w:rsidRDefault="002F5282" w:rsidP="002F528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:rsidR="002D2A9D" w:rsidRDefault="002D2A9D" w:rsidP="002D2A9D">
      <w:pPr>
        <w:pStyle w:val="Zkladntext"/>
      </w:pPr>
      <w:r>
        <w:t>Městský obvod Ostrava- Jih, Horní 791/3, 700 30 Ostrava- Habrůvka</w:t>
      </w:r>
    </w:p>
    <w:p w:rsidR="002D2A9D" w:rsidRDefault="002D2A9D" w:rsidP="002D2A9D">
      <w:pPr>
        <w:pStyle w:val="Zkladntext"/>
      </w:pPr>
      <w:r>
        <w:t>Zastoupený: Bc. Martinem Bednářem, starostou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………………….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 ……………..........................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Žádá-li o vydání rozhodnutí více žadatelů, připojují se údaje obsažené v tomto bodě v samostatné příloze: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ano      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IV. Žadatel jedná 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B53327" w:rsidRDefault="002D2A9D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D2A9D" w:rsidRPr="002D2A9D" w:rsidRDefault="002D2A9D" w:rsidP="002D2A9D">
      <w:pPr>
        <w:pStyle w:val="Nadpis4"/>
        <w:numPr>
          <w:ilvl w:val="0"/>
          <w:numId w:val="0"/>
        </w:numPr>
        <w:ind w:left="1080"/>
        <w:jc w:val="left"/>
        <w:rPr>
          <w:b w:val="0"/>
          <w:sz w:val="24"/>
          <w:szCs w:val="24"/>
        </w:rPr>
      </w:pPr>
      <w:r w:rsidRPr="002D2A9D">
        <w:rPr>
          <w:b w:val="0"/>
          <w:sz w:val="24"/>
          <w:szCs w:val="24"/>
        </w:rPr>
        <w:t>MARK VALA s.r.o.</w:t>
      </w:r>
      <w:r w:rsidRPr="002D2A9D">
        <w:rPr>
          <w:b w:val="0"/>
          <w:sz w:val="24"/>
          <w:szCs w:val="24"/>
        </w:rPr>
        <w:br/>
        <w:t>Divadelní 603/3, 602 00 Brno - město</w:t>
      </w:r>
      <w:r w:rsidRPr="002D2A9D">
        <w:rPr>
          <w:b w:val="0"/>
          <w:sz w:val="24"/>
          <w:szCs w:val="24"/>
        </w:rPr>
        <w:br/>
        <w:t>IČ: 07214481</w:t>
      </w:r>
      <w:r w:rsidRPr="002D2A9D">
        <w:rPr>
          <w:b w:val="0"/>
          <w:sz w:val="24"/>
          <w:szCs w:val="24"/>
        </w:rPr>
        <w:br/>
        <w:t>DIČ: CZ07214481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Telefon / </w:t>
      </w:r>
      <w:r w:rsidR="002D2A9D">
        <w:rPr>
          <w:rFonts w:ascii="Times New Roman" w:eastAsia="Times New Roman" w:hAnsi="Times New Roman"/>
          <w:color w:val="000000" w:themeColor="text1"/>
          <w:sz w:val="24"/>
          <w:szCs w:val="24"/>
        </w:rPr>
        <w:t>mobilní telefon: 737 933 992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Fax / e-mail: </w:t>
      </w:r>
      <w:r w:rsidR="002D2A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mark(a)markvala.cz </w:t>
      </w:r>
    </w:p>
    <w:p w:rsidR="002F5282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 ………….......................................................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0B4645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6E6F4B" w:rsidRDefault="002F5282" w:rsidP="002F5282">
      <w:pPr>
        <w:tabs>
          <w:tab w:val="left" w:pos="4536"/>
          <w:tab w:val="left" w:pos="4706"/>
        </w:tabs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E6F4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V. </w:t>
      </w:r>
      <w:r w:rsidRPr="006E6F4B">
        <w:rPr>
          <w:rFonts w:ascii="Times New Roman" w:eastAsia="Times New Roman" w:hAnsi="Times New Roman"/>
          <w:b/>
          <w:sz w:val="24"/>
          <w:szCs w:val="24"/>
        </w:rPr>
        <w:t xml:space="preserve">U staveb technické infrastruktury podle § 103 odst. 1 písm. e) bodů 4 až 8 </w:t>
      </w:r>
    </w:p>
    <w:p w:rsidR="002F5282" w:rsidRPr="006E6F4B" w:rsidRDefault="002F5282" w:rsidP="002F5282">
      <w:pPr>
        <w:tabs>
          <w:tab w:val="left" w:pos="4536"/>
          <w:tab w:val="left" w:pos="470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E6F4B">
        <w:rPr>
          <w:rFonts w:ascii="Times New Roman" w:eastAsia="Times New Roman" w:hAnsi="Times New Roman"/>
          <w:sz w:val="24"/>
          <w:szCs w:val="24"/>
        </w:rPr>
        <w:t>Seznam a adresy osob, které budou vykonávat činnost stavbyvedoucího a technického dozoru investora</w:t>
      </w:r>
    </w:p>
    <w:p w:rsidR="002F5282" w:rsidRPr="006E6F4B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E6F4B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6E6F4B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E6F4B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6E6F4B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E6F4B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E6F4B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6F2A4C" w:rsidRDefault="002F5282" w:rsidP="002F5282">
      <w:pPr>
        <w:tabs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VI. </w:t>
      </w:r>
      <w:r w:rsidRPr="006F2A4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U dočasného stavebního záměru 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Doba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trvání:………………………………………………...…………………………………..</w:t>
      </w:r>
    </w:p>
    <w:p w:rsidR="002F5282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VII. 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Posouzení vliv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u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stavby / její změny na životní prostředí podle zvláštního právního předpisu</w:t>
      </w:r>
    </w:p>
    <w:p w:rsidR="002F5282" w:rsidRPr="00B53327" w:rsidRDefault="002D2A9D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62695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 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nevztahuje se na ni zákon č. 100/2001 Sb. ani § 45h a 45i zákona č. 114/1992 Sb.</w:t>
      </w:r>
    </w:p>
    <w:p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stanovisko orgánu ochrany přírody podle § 45i odst. 1 zákona č. 114/1992 Sb., kterým tento orgán vyloučil významný vliv 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>na předmět ochrany nebo celistvost evropsky významné lokality nebo ptačí oblasti, pokud je vyžadováno podle zákona č. 114/1992 Sb.</w:t>
      </w:r>
    </w:p>
    <w:p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Sb., vyžadováno</w:t>
      </w:r>
    </w:p>
    <w:p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 </w:t>
      </w:r>
    </w:p>
    <w:p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8979ED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8979ED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:rsidR="002F5282" w:rsidRPr="005637C6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>stavba / změna stavby byla posouzena před podáním žádosti o vydání rozhodnutí – žadatel doloží verifikační závazné stanovisko podle § 9a odst. 1 zákona č. 100/2001 Sb.</w:t>
      </w:r>
      <w:r w:rsidRPr="005637C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8979E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bude posouzena souběžně s územním řízen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ím – žadatel předloží současně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dokumentaci vliv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ů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záměru na životní prostředí</w:t>
      </w: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:rsidR="002F5282" w:rsidRDefault="002F5282" w:rsidP="002F5282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územního rozhodnutí v územním řízení: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424"/>
        <w:gridCol w:w="107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1.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720"/>
                <w:tab w:val="left" w:pos="851"/>
              </w:tabs>
              <w:spacing w:after="120" w:line="240" w:lineRule="auto"/>
              <w:ind w:left="340"/>
              <w:jc w:val="both"/>
              <w:outlineLvl w:val="6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D2A9D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2. Plná moc v případě zastupování,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3. Seznam a adresy oprávněných osob z věcných práv k pozemkům nebo stavbám, na kterých se stavba / změna stavby umisťuje.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8F0881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4. 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bookmarkStart w:id="1" w:name="_GoBack"/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D2A9D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bookmarkEnd w:id="1"/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7A1B92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Dokumentace podle druhu stavby podle přílohy č. 1 až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vyhlášky č. 499/2006 Sb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rPr>
          <w:gridAfter w:val="1"/>
          <w:wAfter w:w="11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U výrobků, které plní funkci stavby, doklad podle zvláštního právního předpisu prokazujícího shodu jeho vlastností s požadavky na stavby podle § 156 stavebního zákona nebo technickou dokumentaci výrobce nebo dovozce, popřípadě další doklad, z něhož je možné ověřit dodržení požadavků na stavby.</w:t>
            </w:r>
          </w:p>
        </w:tc>
      </w:tr>
      <w:tr w:rsidR="002F5282" w:rsidRPr="00B53327" w:rsidTr="002F5282">
        <w:trPr>
          <w:gridAfter w:val="1"/>
          <w:wAfter w:w="11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E7002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8. Pokud stavba / změna stavby nevyžaduje posouzení její</w:t>
            </w:r>
            <w:r w:rsidR="00EF55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ch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vliv</w:t>
            </w:r>
            <w:r w:rsidR="00EF55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ů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na životní prostředí a v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:rsidR="002F5282" w:rsidRPr="00CE700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tanovisko orgánu ochrany přírody podle § 45i odst. 1 zákon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a č. 114/1992 Sb., kterým tento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orgán vyloučil významný vliv na předmět ochrany nebo celistvost evropsky významné lokality nebo ptačí oblasti, pokud je vyžadováno podle zákona č. 114/1992 Sb., nebo </w:t>
            </w:r>
          </w:p>
          <w:p w:rsidR="002F5282" w:rsidRPr="00CE700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stavba / její změna, která je podlimitním záměrem, nepodléhá zjišťovacímu řízení, je-li podle zákona č. 100/2001 Sb., vyžadováno, nebo</w:t>
            </w:r>
          </w:p>
          <w:p w:rsidR="002F5282" w:rsidRPr="00CE700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 její změna nemůže mít významný vliv na životní prostředí</w:t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 pokud je vyžadován podle zákona č. 100/2001 Sb.</w:t>
            </w:r>
          </w:p>
        </w:tc>
      </w:tr>
      <w:tr w:rsidR="002F5282" w:rsidRPr="00B53327" w:rsidTr="002F5282">
        <w:trPr>
          <w:gridAfter w:val="1"/>
          <w:wAfter w:w="11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E7002" w:rsidRDefault="002F5282" w:rsidP="002F528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9. Další přílohy podle části A</w:t>
            </w:r>
          </w:p>
          <w:p w:rsidR="002F5282" w:rsidRPr="00CE700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CE7002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 bodu II. žádosti</w:t>
            </w:r>
          </w:p>
          <w:p w:rsidR="002F5282" w:rsidRPr="00CE700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CE7002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k bodu III.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žádosti</w:t>
            </w:r>
          </w:p>
        </w:tc>
      </w:tr>
      <w:tr w:rsidR="002F5282" w:rsidRPr="00B53327" w:rsidTr="002F5282">
        <w:trPr>
          <w:gridAfter w:val="1"/>
          <w:wAfter w:w="11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2F5282" w:rsidRDefault="002F5282" w:rsidP="002451D5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305F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 případě souboru staveb v areálu jaderného zařízení jsou v samostatné příloze dále uvedeny základní údaje o kapacitních a časových maximech vstupů a výstupů, o maximální výměře zastavěných ploch pro umístění staveb v areálu, maximálním výškovém ohraničení staveb uvnitř areálu, o minimálních odstupových vzdálenostech jednotlivých staveb od hranic areálu a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sousedních staveb mimo areál.</w:t>
            </w:r>
          </w:p>
        </w:tc>
      </w:tr>
    </w:tbl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C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územního rozhodnutí ve zjednodušeném územním řízení: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720"/>
                <w:tab w:val="left" w:pos="851"/>
              </w:tabs>
              <w:spacing w:after="120" w:line="240" w:lineRule="auto"/>
              <w:ind w:left="340"/>
              <w:jc w:val="both"/>
              <w:outlineLvl w:val="6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Souhlasy účastníků řízení, kteří mají vlastnická nebo jiná věcná práva k pozemkům nebo stavbám na nich, jež jsou předmětem územního řízení nebo jejichž vlastnické nebo jiné věcné právo k sousedním stavbám anebo sousedním pozemkům nebo stavbám na nich může být umístěním stavebního záměru přímo dotčeno; souhlas s navrhovaným záměrem musí být vyznačen na situačním výkresu.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Plná moc v případě zastupování,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Seznam a adresy oprávněných osob z věcných práv k pozemkům nebo stavbám, na kterých se stavba / změna stavby umisťuje.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A44C41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C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Dokumentace podle druhu stavby podle přílohy č. 1 až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B60C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</w:p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</w:p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U výrobků, které plní funkci stavby, doklad podle zvláštního právního předpisu prokazujícího shodu jeho vlastností s požadavky na stavby podle § 156 stavebního zákona nebo technickou dokumentaci výrobce nebo dovozce, popřípadě další doklad, z něhož je možné ověřit dodržení požadavků na stavby.</w:t>
            </w:r>
          </w:p>
          <w:p w:rsidR="002F5282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B1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Pokud stavba / změna stavby nevyžaduje posouzení její</w:t>
            </w:r>
            <w:r w:rsidR="00EF55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ch</w:t>
            </w:r>
            <w:r w:rsidRPr="002B1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vliv</w:t>
            </w:r>
            <w:r w:rsidR="00EF55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ů</w:t>
            </w:r>
            <w:r w:rsidRPr="002B1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na životní prostředí a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2B1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2B1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:rsidR="002F5282" w:rsidRPr="00E37A5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4D3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4D3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</w:t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přírody podle § 45i odst. 1 zákona č. 114/1992 Sb., kterým tento orgán vyloučil významný vliv na předmět ochrany nebo celistvost evropsky významné lokality nebo ptačí oblasti, pokud je vyžadováno podle zákona č. 114/1992 Sb., nebo </w:t>
            </w:r>
          </w:p>
          <w:p w:rsidR="002F5282" w:rsidRPr="00E37A5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sdělení příslušného úřadu, že stavba / její změna, která je podlimitním záměrem, nepodléhá zjišťovacímu řízení, je-li podle zákona č. 100/2001 Sb., vyžadováno, nebo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závěr zjišťovacího řízení, že stavba / její změna nemůže mít významný vliv na životní prostředí, pokud je vyžadován podle zákona č. 100/2001 Sb.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  <w:p w:rsidR="002F5282" w:rsidRDefault="002F5282" w:rsidP="002F528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Default="002F5282" w:rsidP="002F5282">
            <w:pPr>
              <w:spacing w:before="60" w:after="0" w:line="240" w:lineRule="auto"/>
              <w:ind w:left="-50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Default="002F5282" w:rsidP="002F528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Pr="00E37A57" w:rsidRDefault="002F5282" w:rsidP="002F5282">
      <w:pPr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D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right="141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územního rozhodnutí v územním řízení s posouzením vlivů na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životní prostředí</w:t>
      </w:r>
    </w:p>
    <w:p w:rsidR="002F5282" w:rsidRPr="00B53327" w:rsidRDefault="002F5282" w:rsidP="002F5282">
      <w:pPr>
        <w:spacing w:after="0" w:line="240" w:lineRule="auto"/>
        <w:ind w:right="141"/>
        <w:jc w:val="both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4"/>
      </w:tblGrid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1.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spacing w:after="0" w:line="240" w:lineRule="auto"/>
              <w:ind w:left="567" w:right="141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720"/>
                <w:tab w:val="left" w:pos="851"/>
              </w:tabs>
              <w:spacing w:after="120" w:line="240" w:lineRule="auto"/>
              <w:ind w:left="567" w:right="141"/>
              <w:jc w:val="both"/>
              <w:outlineLvl w:val="6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2. Plná moc v případě zastupování,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3. Seznam a adresy oprávněných osob z věcných práv k pozemkům nebo stavbám, na kterých se stavba / změna stavby umisťuje.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4.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A44C41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5. Dokumentace podle druhu stavby podle přílohy č. 1 až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vyhlášky č. 499/2006 Sb.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6. 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7. U výrobků, které plní funkci stavby, doklad podle zvláštního právního předpisu prokazujícího shodu jeho vlastností s požadavky na stavby podle § 156 stavebního zákona nebo technickou dokumentaci výrobce nebo dovozce, popřípadě další doklad, z něhož je možné ověřit dodržení požadavků na stavby.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451D5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46B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8.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Dokumentace vlivů záměru na životní prostředí podle § 10 odst. 3 a přílohy č. 4 k zákonu o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posuzování vlivů na životní prostředí.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46B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Další přílohy podle části A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firstLine="1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 bodu II. žádosti</w:t>
            </w:r>
          </w:p>
          <w:p w:rsidR="002F5282" w:rsidRDefault="002F5282" w:rsidP="002F5282">
            <w:pPr>
              <w:spacing w:before="120" w:after="0" w:line="240" w:lineRule="auto"/>
              <w:ind w:left="600" w:firstLine="1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k bodu III.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  <w:p w:rsidR="002F5282" w:rsidRPr="00B53327" w:rsidRDefault="002F5282" w:rsidP="002F5282">
            <w:pPr>
              <w:spacing w:before="60"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8979E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305F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 případě souboru staveb v areálu jaderného zařízení jsou v samostatné příloze dále uvedeny základní údaje o kapacitních a časových maximech vstupů a výstupů, o maximální výměře zastavěných ploch pro umístění staveb v areálu, maximálním výškovém ohraničení staveb uvnitř areálu, o minimálních odstupových vzdálenostech jednotlivých staveb od hranic areálu a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sousedních staveb mimo areál.</w:t>
            </w:r>
          </w:p>
          <w:p w:rsidR="002F5282" w:rsidRDefault="002F5282" w:rsidP="002F5282">
            <w:pPr>
              <w:spacing w:after="0" w:line="240" w:lineRule="auto"/>
              <w:ind w:left="426" w:right="141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E86DC5" w:rsidRDefault="002F5282" w:rsidP="002F5282">
            <w:pPr>
              <w:spacing w:after="0" w:line="240" w:lineRule="auto"/>
              <w:ind w:left="426" w:right="141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br w:type="page"/>
            </w:r>
          </w:p>
        </w:tc>
      </w:tr>
    </w:tbl>
    <w:p w:rsidR="002F5282" w:rsidRDefault="002F5282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2F5282" w:rsidSect="00CB791A">
      <w:footerReference w:type="default" r:id="rId12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9ED" w:rsidRDefault="008979ED" w:rsidP="00165DCC">
      <w:pPr>
        <w:spacing w:after="0" w:line="240" w:lineRule="auto"/>
      </w:pPr>
      <w:r>
        <w:separator/>
      </w:r>
    </w:p>
  </w:endnote>
  <w:endnote w:type="continuationSeparator" w:id="0">
    <w:p w:rsidR="008979ED" w:rsidRDefault="008979ED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tučné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BAC" w:rsidRPr="00071878" w:rsidRDefault="008979ED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2D2A9D">
          <w:rPr>
            <w:rFonts w:ascii="Times New Roman" w:hAnsi="Times New Roman"/>
            <w:noProof/>
            <w:sz w:val="20"/>
            <w:szCs w:val="20"/>
          </w:rPr>
          <w:t>7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9ED" w:rsidRDefault="008979ED" w:rsidP="00165DCC">
      <w:pPr>
        <w:spacing w:after="0" w:line="240" w:lineRule="auto"/>
      </w:pPr>
      <w:r>
        <w:separator/>
      </w:r>
    </w:p>
  </w:footnote>
  <w:footnote w:type="continuationSeparator" w:id="0">
    <w:p w:rsidR="008979ED" w:rsidRDefault="008979ED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E255458"/>
    <w:multiLevelType w:val="hybridMultilevel"/>
    <w:tmpl w:val="D6F29294"/>
    <w:lvl w:ilvl="0" w:tplc="B7D63C7C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5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1"/>
  </w:num>
  <w:num w:numId="8">
    <w:abstractNumId w:val="86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9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6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7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4"/>
  </w:num>
  <w:num w:numId="58">
    <w:abstractNumId w:val="83"/>
  </w:num>
  <w:num w:numId="59">
    <w:abstractNumId w:val="68"/>
  </w:num>
  <w:num w:numId="60">
    <w:abstractNumId w:val="57"/>
  </w:num>
  <w:num w:numId="61">
    <w:abstractNumId w:val="35"/>
  </w:num>
  <w:num w:numId="62">
    <w:abstractNumId w:val="78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2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 w:numId="92">
    <w:abstractNumId w:val="75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E6EEB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2A9D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1B20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083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979ED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B791A"/>
    <w:rsid w:val="00CC4C70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3A62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EC64C4-4EF8-4621-9C7B-558D6942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  <w:style w:type="character" w:customStyle="1" w:styleId="widget-pane-link">
    <w:name w:val="widget-pane-link"/>
    <w:basedOn w:val="Standardnpsmoodstavce"/>
    <w:rsid w:val="00F23A62"/>
  </w:style>
  <w:style w:type="paragraph" w:styleId="Bezmezer">
    <w:name w:val="No Spacing"/>
    <w:qFormat/>
    <w:rsid w:val="00F23A6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3A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dp.cuzk.cz/vdp/ruian/parcely/68603880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dp.cuzk.cz/vdp/ruian/parcely/68603980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dp.cuzk.cz/vdp/ruian/parcely/13438218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dp.cuzk.cz/vdp/ruian/parcely/134382280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5B3DB-A817-4227-A5B0-DCA5D70D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2351</Words>
  <Characters>13875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win</cp:lastModifiedBy>
  <cp:revision>2</cp:revision>
  <cp:lastPrinted>2019-06-13T13:38:00Z</cp:lastPrinted>
  <dcterms:created xsi:type="dcterms:W3CDTF">2019-06-13T13:44:00Z</dcterms:created>
  <dcterms:modified xsi:type="dcterms:W3CDTF">2019-06-13T13:44:00Z</dcterms:modified>
</cp:coreProperties>
</file>